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Requirements</w:t>
      </w:r>
    </w:p>
    <w:p>
      <w:pPr>
        <w:pStyle w:val="Heading1"/>
      </w:pPr>
      <w:r>
        <w:t>Requirements</w:t>
      </w:r>
    </w:p>
    <w:p>
      <w:pPr>
        <w:pStyle w:val="Heading2"/>
      </w:pPr>
      <w:r>
        <w:t>1. Functional Requirements</w:t>
      </w:r>
    </w:p>
    <w:p>
      <w:pPr>
        <w:pStyle w:val="Heading3"/>
      </w:pPr>
      <w:r>
        <w:t>1.1 Abuse Prevention Measures in Home Nursing</w:t>
      </w:r>
    </w:p>
    <w:p>
      <w:pPr>
        <w:pStyle w:val="ListBullet"/>
      </w:pPr>
      <w:r>
        <w:t>The responsibilities of administrators at home nursing stations must be clarified and requirements reviewed to ensure efficient operation while maintaining the quality of provided home nursing services. [KB-01a2d77c-a20a-47e5-ae19-16ab2c89e272]</w:t>
      </w:r>
    </w:p>
    <w:p>
      <w:pPr>
        <w:pStyle w:val="ListBullet"/>
      </w:pPr>
      <w:r>
        <w:t>Establishment of systems for abuse prevention measures in home nursing is mandatory, and physical restraints are, in principle, prohibited. [KB-01a2d77c-a20a-47e5-ae19-16ab2c89e272][KB-e14d657a-8970-4e3e-9ccb-5662af7d6525]</w:t>
      </w:r>
    </w:p>
    <w:p>
      <w:pPr>
        <w:pStyle w:val="Heading3"/>
      </w:pPr>
      <w:r>
        <w:t>1.2 Minimization of Physical Restraint</w:t>
      </w:r>
    </w:p>
    <w:p>
      <w:pPr>
        <w:pStyle w:val="ListBullet"/>
      </w:pPr>
      <w:r>
        <w:t>Organizational systems to minimize physical restraint must be established in medical institutions, especially for dementia care and general inpatient care. [KB-edc81296-4474-4138-a404-f797f293eb19][KB-8445364a-473a-46bc-8207-fb1f2671bde6]</w:t>
      </w:r>
    </w:p>
    <w:p>
      <w:pPr>
        <w:pStyle w:val="ListBullet"/>
      </w:pPr>
      <w:r>
        <w:t>Requirements and evaluation criteria for dementia care add-ons and delirium high-risk patient care add-ons must be revised, including the necessity to distinguish delirium in assessments. [KB-c2bd624b-5c92-413c-be0e-30abb7e64211]</w:t>
      </w:r>
    </w:p>
    <w:p>
      <w:pPr>
        <w:pStyle w:val="ListBullet"/>
      </w:pPr>
      <w:r>
        <w:t>Requirements and evaluation for nursing assistant system enhancement add-ons must be revised to further promote work sharing and cooperation between nursing staff and assistants, and to encourage minimization of physical restraints. [KB-05c4460e-0933-40a9-962c-fc2be422e060]</w:t>
      </w:r>
    </w:p>
    <w:p>
      <w:pPr>
        <w:pStyle w:val="Heading3"/>
      </w:pPr>
      <w:r>
        <w:t>1.3 Home Nursing Station Operations</w:t>
      </w:r>
    </w:p>
    <w:p>
      <w:pPr>
        <w:pStyle w:val="ListBullet"/>
      </w:pPr>
      <w:r>
        <w:t>Requirements for frequent visit add-ons and evaluation criteria must be revised to ensure appropriate assessment based on patient condition in home medical care. [KB-17ac1ec0-b2d4-4910-9884-a2e46ea25ce0]</w:t>
      </w:r>
    </w:p>
    <w:p>
      <w:pPr>
        <w:pStyle w:val="ListBullet"/>
      </w:pPr>
      <w:r>
        <w:t>Administrator responsibilities and requirements for efficient operation of home nursing stations must be clarified and reviewed. [KB-17ac1ec0-b2d4-4910-9884-a2e46ea25ce0]</w:t>
      </w:r>
    </w:p>
    <w:p>
      <w:pPr>
        <w:pStyle w:val="Heading3"/>
      </w:pPr>
      <w:r>
        <w:t>1.4 24-Hour Response System</w:t>
      </w:r>
    </w:p>
    <w:p>
      <w:pPr>
        <w:pStyle w:val="ListBullet"/>
      </w:pPr>
      <w:r>
        <w:t>Requirements and evaluation criteria for 24-hour response system add-ons must be revised, considering initiatives to reduce nursing workload and reviewing the handling of communication systems for 24-hour response. [KB-06db46ba-7647-483b-9f38-f7fa62a24d77]</w:t>
      </w:r>
    </w:p>
    <w:p>
      <w:pPr>
        <w:pStyle w:val="Heading3"/>
      </w:pPr>
      <w:r>
        <w:t>1.5 Emergency Home Nursing</w:t>
      </w:r>
    </w:p>
    <w:p>
      <w:pPr>
        <w:pStyle w:val="ListBullet"/>
      </w:pPr>
      <w:r>
        <w:t>Requirements and evaluation criteria for emergency home nursing add-ons must be revised to ensure appropriate provision of emergency designated home nursing, including reviewing the contents of home nursing care fee claim forms. [KB-4be6a015-623d-440c-95dd-a51bf556ebbd]</w:t>
      </w:r>
    </w:p>
    <w:p>
      <w:pPr>
        <w:pStyle w:val="Heading3"/>
      </w:pPr>
      <w:r>
        <w:t>1.6 Home Nursing Management Fee</w:t>
      </w:r>
    </w:p>
    <w:p>
      <w:pPr>
        <w:pStyle w:val="ListBullet"/>
      </w:pPr>
      <w:r>
        <w:t>Requirements and evaluation criteria for home nursing management fee must be revised to strengthen the functions of home nursing stations, ensuring high-quality and effective care to meet diverse user and regional needs. [KB-aeb72a17-5d44-4c8e-b3c6-e83c459da003]</w:t>
      </w:r>
    </w:p>
    <w:p>
      <w:pPr>
        <w:pStyle w:val="Heading3"/>
      </w:pPr>
      <w:r>
        <w:t>1.7 Online Qualification Confirmation</w:t>
      </w:r>
    </w:p>
    <w:p>
      <w:pPr>
        <w:pStyle w:val="ListBullet"/>
      </w:pPr>
      <w:r>
        <w:t>When an online qualification confirmation system is introduced for consent acquisition at home, initial visits must utilize user diagnosis and medication information for planned management and provision of high-quality medical care, with new evaluation criteria established. [KB-9e53203f-143a-4301-abb8-e7bd7dde87af]</w:t>
      </w:r>
    </w:p>
    <w:p>
      <w:pPr>
        <w:pStyle w:val="Heading3"/>
      </w:pPr>
      <w:r>
        <w:t>1.8 Terminal Care Add-on</w:t>
      </w:r>
    </w:p>
    <w:p>
      <w:pPr>
        <w:pStyle w:val="ListBullet"/>
      </w:pPr>
      <w:r>
        <w:t>Requirements for terminal care add-ons must be revised to support end-of-life care in the location desired by the patient, reflecting the patient's wishes. [KB-3e410501-b1b1-45a9-8876-3e7fcf55b2dd]</w:t>
      </w:r>
    </w:p>
    <w:p>
      <w:pPr>
        <w:pStyle w:val="Heading3"/>
      </w:pPr>
      <w:r>
        <w:t>1.9 Discharge Support Guidance Add-on</w:t>
      </w:r>
    </w:p>
    <w:p>
      <w:pPr>
        <w:pStyle w:val="ListBullet"/>
      </w:pPr>
      <w:r>
        <w:t>[GAP: Missing data for Requirements]</w:t>
      </w:r>
    </w:p>
    <w:p>
      <w:pPr>
        <w:pStyle w:val="Heading3"/>
      </w:pPr>
      <w:r>
        <w:t>1.10 Medication Management and Guidance</w:t>
      </w:r>
    </w:p>
    <w:p>
      <w:pPr>
        <w:pStyle w:val="ListBullet"/>
      </w:pPr>
      <w:r>
        <w:t>Requirements for medication management, including support for patients with multiple medications or those unable to open packaging themselves, must be revised. Medication management support and guidance must be provided, and information shared with prescribing physicians. [KB-2f8bb1e8-7cd1-4808-802d-61cbf1dea96e][KB-ff3ce6e4-b5ec-4058-afe5-c24124781336]</w:t>
      </w:r>
    </w:p>
    <w:p>
      <w:pPr>
        <w:pStyle w:val="ListBullet"/>
      </w:pPr>
      <w:r>
        <w:t>Requirements for medication management add-ons and evaluation criteria must be revised, including proposals to resolve duplicate prescriptions. [KB-50d4fc2a-962d-4820-a105-6ba75b15cf4c][KB-f2bbf07b-2196-40f3-9da7-66b45e6dd128]</w:t>
      </w:r>
    </w:p>
    <w:p>
      <w:pPr>
        <w:pStyle w:val="Heading3"/>
      </w:pPr>
      <w:r>
        <w:t>1.11 Narcotics Management</w:t>
      </w:r>
    </w:p>
    <w:p>
      <w:pPr>
        <w:pStyle w:val="ListBullet"/>
      </w:pPr>
      <w:r>
        <w:t>For patients prescribed narcotics, confirmation of usage, storage, and side effects, as well as provision of necessary pharmaceutical management and guidance, must be performed. Add-ons for narcotics management are to be calculated per instance. [KB-24385190-0703-42d1-a834-6854e998b904][KB-ad7d4dc3-8896-4c1b-92c7-8d969120b377][KB-66969593-ac17-45cd-a41d-f335a2406225][KB-31de50ce-f3df-4fb0-a0bd-6a1ce5795463][KB-10f23eda-03d3-4220-8642-6ff7cbf64700]</w:t>
      </w:r>
    </w:p>
    <w:p>
      <w:pPr>
        <w:pStyle w:val="Heading3"/>
      </w:pPr>
      <w:r>
        <w:t>1.12 Medication Information Provision</w:t>
      </w:r>
    </w:p>
    <w:p>
      <w:pPr>
        <w:pStyle w:val="ListBullet"/>
      </w:pPr>
      <w:r>
        <w:t>When requested by medical institutions and with patient consent, medication information must be provided in writing to ensure appropriate medication use. This is limited to once per month. [KB-37919876-98a0-4f81-879a-7de2d13e4a0f][KB-0dc6dd3-3ecc-4685-9f43-b8bcb2ab8ce4]</w:t>
      </w:r>
    </w:p>
    <w:p>
      <w:pPr>
        <w:pStyle w:val="ListBullet"/>
      </w:pPr>
      <w:r>
        <w:t>Information must also be provided to care managers and for refill prescriptions as required. [KB-c35807e4-304e-4ca5-8e86-e1404c20a9fd]</w:t>
      </w:r>
    </w:p>
    <w:p>
      <w:pPr>
        <w:pStyle w:val="Heading3"/>
      </w:pPr>
      <w:r>
        <w:t>1.13 Pediatric Specific Add-ons</w:t>
      </w:r>
    </w:p>
    <w:p>
      <w:pPr>
        <w:pStyle w:val="ListBullet"/>
      </w:pPr>
      <w:r>
        <w:t>For patients defined as disabled children under Article 56-6(2) of the Child Welfare Act, necessary information must be confirmed directly with the patient or their family, guidance provided, and the guidance content recorded in a notebook. Pediatric specific add-ons are calculated accordingly. [KB-ba91d9ab-b335-4929-9779-694ba115ef39][KB-6bb697eb-fdad-4cda-a697-9d148e072b9d]</w:t>
      </w:r>
    </w:p>
    <w:p>
      <w:pPr>
        <w:pStyle w:val="Heading3"/>
      </w:pPr>
      <w:r>
        <w:t>1.14 Adverse Effect Management</w:t>
      </w:r>
    </w:p>
    <w:p>
      <w:pPr>
        <w:pStyle w:val="ListBullet"/>
      </w:pPr>
      <w:r>
        <w:t>For patients requiring special safety management, adverse effect occurrence and treatment plans must be confirmed in writing, and necessary pharmaceutical management and guidance provided. [KB-1deff0da-ee71-4c91-9f43-b8bcb2ab8ce4][KB-e8ad7124-d716-4649-9f50-064344c869d7]</w:t>
      </w:r>
    </w:p>
    <w:p>
      <w:pPr>
        <w:pStyle w:val="Heading3"/>
      </w:pPr>
      <w:r>
        <w:t>1.15 Comprehensive Support Add-on</w:t>
      </w:r>
    </w:p>
    <w:p>
      <w:pPr>
        <w:pStyle w:val="ListBullet"/>
      </w:pPr>
      <w:r>
        <w:t>Requirements for comprehensive support add-ons must be revised to further promote evaluation based on patient condition in home medical care. [KB-09f32992-f81b-4576-aaa4-262f9f8d8579]</w:t>
      </w:r>
    </w:p>
    <w:p>
      <w:pPr>
        <w:pStyle w:val="Heading3"/>
      </w:pPr>
      <w:r>
        <w:t>1.16 Emergency Online Pharmaceutical Management Guidance Fee</w:t>
      </w:r>
    </w:p>
    <w:p>
      <w:pPr>
        <w:pStyle w:val="ListBullet"/>
      </w:pPr>
      <w:r>
        <w:t>[GAP: Missing data for Requirements]</w:t>
      </w:r>
    </w:p>
    <w:p>
      <w:pPr>
        <w:pStyle w:val="Heading3"/>
      </w:pPr>
      <w:r>
        <w:t>1.17 Medical Safety Measures</w:t>
      </w:r>
    </w:p>
    <w:p>
      <w:pPr>
        <w:pStyle w:val="ListBullet"/>
      </w:pPr>
      <w:r>
        <w:t>Medical institutions must submit notification of medical safety measures add-on 1 for treatment rooms requiring special medical safety measures, such as intensive care units and laparoscopic surgery rooms. [KB-360b6f6e-0849-4755-9436-c9fda0dba185]</w:t>
      </w:r>
    </w:p>
    <w:p>
      <w:pPr>
        <w:pStyle w:val="Heading3"/>
      </w:pPr>
      <w:r>
        <w:t>1.18 Statement Issuance</w:t>
      </w:r>
    </w:p>
    <w:p>
      <w:pPr>
        <w:pStyle w:val="ListBullet"/>
      </w:pPr>
      <w:r>
        <w:t>From June 2024, designated home nursing providers are required to issue statements free of charge. [KB-7b83826c-4a00-4706-aced-07ac5183c8ff]</w:t>
      </w:r>
    </w:p>
    <w:p>
      <w:pPr>
        <w:pStyle w:val="Heading2"/>
      </w:pPr>
      <w:r>
        <w:t>2. Business Requirements</w:t>
      </w:r>
    </w:p>
    <w:p>
      <w:pPr>
        <w:pStyle w:val="Heading3"/>
      </w:pPr>
      <w:r>
        <w:t>2.1 Calculation of Add-ons and Fees</w:t>
      </w:r>
    </w:p>
    <w:p>
      <w:pPr>
        <w:pStyle w:val="ListBullet"/>
      </w:pPr>
      <w:r>
        <w:t>Fees and add-ons must be calculated according to the specified point system for each service, such as discharge joint guidance fee (600 points), home patient emergency joint guidance fee (700 points), narcotics management guidance add-on (100 points per instance), pediatric specific add-on (350 points per instance), and others. [KB-44db8f45-e972-47c4-ba46-8ad6a816615e][KB-4fc322f9-642f-4801-89c3-cb70c9af6ab1][KB-24385190-0703-42d1-a834-6854e998b904][KB-ba91d9ab-b335-4929-9779-694ba115ef39][KB-6bb697eb-fdad-4cda-a697-9d148e072b9d]</w:t>
      </w:r>
    </w:p>
    <w:p>
      <w:pPr>
        <w:pStyle w:val="Heading3"/>
      </w:pPr>
      <w:r>
        <w:t>2.2 Information Sharing and Documentation</w:t>
      </w:r>
    </w:p>
    <w:p>
      <w:pPr>
        <w:pStyle w:val="ListBullet"/>
      </w:pPr>
      <w:r>
        <w:t>All guidance and management activities must be documented and shared with relevant medical institutions, care managers, or other stakeholders as required. [KB-c35807e4-304e-4ca5-8e86-e1404c20a9fd][KB-1a041fdb-9f3f-4485-887a-113bbc6d3aa7]</w:t>
      </w:r>
    </w:p>
    <w:p>
      <w:pPr>
        <w:pStyle w:val="Heading2"/>
      </w:pPr>
      <w:r>
        <w:t>3. Constraints</w:t>
      </w:r>
    </w:p>
    <w:p>
      <w:pPr>
        <w:pStyle w:val="Heading3"/>
      </w:pPr>
      <w:r>
        <w:t>3.1 Frequency Limits</w:t>
      </w:r>
    </w:p>
    <w:p>
      <w:pPr>
        <w:pStyle w:val="ListBullet"/>
      </w:pPr>
      <w:r>
        <w:t>Certain fees and add-ons are limited in frequency, such as calculation only once per month or twice per month, depending on the service and patient condition. [KB-20775cd7-be3a-4a41-a8e2-53ac409c2538][KB-473d2d4d-0a06-4fe0-990e-29bef944a7c7][KB-95340505-f820-4879-9646-0167a0508c15]</w:t>
      </w:r>
    </w:p>
    <w:p>
      <w:pPr>
        <w:pStyle w:val="Heading3"/>
      </w:pPr>
      <w:r>
        <w:t>3.2 Prohibition of Physical Restraint</w:t>
      </w:r>
    </w:p>
    <w:p>
      <w:pPr>
        <w:pStyle w:val="ListBullet"/>
      </w:pPr>
      <w:r>
        <w:t>Physical restraint is, in principle, prohibited in home nursing and dementia care settings. [KB-e14d657a-8970-4e3e-9ccb-5662af7d6525][KB-8445364a-473a-46bc-8207-fb1f2671bde6]</w:t>
      </w:r>
    </w:p>
    <w:p>
      <w:pPr>
        <w:pStyle w:val="Heading2"/>
      </w:pPr>
      <w:r>
        <w:t>4. Quality Requirements</w:t>
      </w:r>
    </w:p>
    <w:p>
      <w:pPr>
        <w:pStyle w:val="Heading3"/>
      </w:pPr>
      <w:r>
        <w:t>4.1 Security</w:t>
      </w:r>
    </w:p>
    <w:p>
      <w:pPr>
        <w:pStyle w:val="ListBullet"/>
      </w:pPr>
      <w:r>
        <w:t>Medical information system safety management guidelines must be followed, and requirements and evaluation for medical record management add-ons must be revised to include cybersecurity measures for emergencies. [KB-f2add61c-f758-48b5-bf48-6956eec6aa8a]</w:t>
      </w:r>
    </w:p>
    <w:p>
      <w:r>
        <w:t>---</w:t>
      </w:r>
    </w:p>
    <w:p>
      <w:r>
        <w:rPr>
          <w:b/>
        </w:rPr>
        <w:t>Legend:</w:t>
      </w:r>
    </w:p>
    <w:p>
      <w:pPr>
        <w:pStyle w:val="ListBullet"/>
      </w:pPr>
      <w:r>
        <w:t>Add-on: Additional fee calculated for specific medical/nursing/pharmaceutical services.</w:t>
      </w:r>
    </w:p>
    <w:p>
      <w:pPr>
        <w:pStyle w:val="ListBullet"/>
      </w:pPr>
      <w:r>
        <w:t>Guidance fee: Fee for providing guidance to patients or their families.</w:t>
      </w:r>
    </w:p>
    <w:p>
      <w:pPr>
        <w:pStyle w:val="ListBullet"/>
      </w:pPr>
      <w:r>
        <w:t>Notebook: Patient or family-held record for documenting guidance.</w:t>
      </w:r>
    </w:p>
    <w:p>
      <w:r>
        <w:rPr>
          <w:b/>
        </w:rPr>
        <w:t>Source citations:</w:t>
      </w:r>
    </w:p>
    <w:p>
      <w:r>
        <w:t>All requirements are directly referenced from the respective Knowledge Base blocks as indicated.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2026-03-18T04:12:35Z</dcterms:created>
  <dcterms:modified xsi:type="dcterms:W3CDTF">2013-12-23T23:15:00Z</dcterms:modified>
  <cp:category/>
</cp:coreProperties>
</file>